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3201"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Voici le CR de la réunion de vendredi soir avec Thérèse, Wilfried, Philippe et Cédric :</w:t>
      </w:r>
    </w:p>
    <w:p w14:paraId="7ED03FDA"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Tour de table : parcours, âges, expériences et niveau d’épargne très variés.</w:t>
      </w:r>
    </w:p>
    <w:p w14:paraId="162E9931" w14:textId="77777777" w:rsidR="00304475" w:rsidRPr="00304475" w:rsidRDefault="00304475" w:rsidP="00304475">
      <w:pPr>
        <w:spacing w:before="240" w:after="240" w:line="240" w:lineRule="auto"/>
        <w:rPr>
          <w:rFonts w:ascii="Arial" w:eastAsia="Times New Roman" w:hAnsi="Arial" w:cs="Arial"/>
          <w:b/>
          <w:bCs/>
          <w:color w:val="000000"/>
          <w:sz w:val="21"/>
          <w:szCs w:val="21"/>
          <w:lang w:eastAsia="fr-FR"/>
        </w:rPr>
      </w:pPr>
      <w:r w:rsidRPr="00304475">
        <w:rPr>
          <w:rFonts w:ascii="Arial" w:eastAsia="Times New Roman" w:hAnsi="Arial" w:cs="Arial"/>
          <w:b/>
          <w:bCs/>
          <w:color w:val="000000"/>
          <w:sz w:val="21"/>
          <w:szCs w:val="21"/>
          <w:lang w:eastAsia="fr-FR"/>
        </w:rPr>
        <w:t>ODJ : Sécession financière et brainstorming sur des actions pacifiques concernant l’objection de conscience.</w:t>
      </w:r>
    </w:p>
    <w:p w14:paraId="14B79E2E"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La sécession financière est comprise de manière différente mais il y a un « escalier » à gravir afin de faire face aux nouvelles situations :</w:t>
      </w:r>
    </w:p>
    <w:p w14:paraId="633C1916" w14:textId="77777777" w:rsidR="00304475" w:rsidRPr="00304475" w:rsidRDefault="00304475" w:rsidP="00304475">
      <w:pPr>
        <w:numPr>
          <w:ilvl w:val="0"/>
          <w:numId w:val="1"/>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Préserver sa situation financière à court terme :</w:t>
      </w:r>
    </w:p>
    <w:p w14:paraId="139B3AAF"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b/>
          <w:bCs/>
          <w:color w:val="000000"/>
          <w:sz w:val="21"/>
          <w:szCs w:val="21"/>
          <w:lang w:eastAsia="fr-FR"/>
        </w:rPr>
        <w:t>Situation de faible épargne :</w:t>
      </w:r>
    </w:p>
    <w:p w14:paraId="45270F4F" w14:textId="77777777" w:rsidR="00304475" w:rsidRPr="00304475" w:rsidRDefault="00304475" w:rsidP="00304475">
      <w:pPr>
        <w:numPr>
          <w:ilvl w:val="0"/>
          <w:numId w:val="2"/>
        </w:numPr>
        <w:spacing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Limiter les dépôts en banque sur compte courant ;</w:t>
      </w:r>
    </w:p>
    <w:p w14:paraId="06832B56" w14:textId="77777777" w:rsidR="00304475" w:rsidRPr="00304475" w:rsidRDefault="00304475" w:rsidP="00304475">
      <w:pPr>
        <w:numPr>
          <w:ilvl w:val="0"/>
          <w:numId w:val="2"/>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Acheter des denrées alimentaires de longue conservation (conserves &amp; pots en verre, huiles, miels, confitures, vins &amp; alcools, briquets, bougies, piles, ampoules, chocolat, sucre, farine, semences, savons, cigarettes, sel) ;</w:t>
      </w:r>
    </w:p>
    <w:p w14:paraId="7122295A" w14:textId="77777777" w:rsidR="00304475" w:rsidRPr="00304475" w:rsidRDefault="00304475" w:rsidP="00304475">
      <w:pPr>
        <w:numPr>
          <w:ilvl w:val="0"/>
          <w:numId w:val="2"/>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Acheter en fonction de votre situation en vue de troc potentiel (stocker à part les éléments ci-dessus que vous ne consommez pas) ;</w:t>
      </w:r>
    </w:p>
    <w:p w14:paraId="46995ADB" w14:textId="77777777" w:rsidR="00304475" w:rsidRPr="00304475" w:rsidRDefault="00304475" w:rsidP="00304475">
      <w:pPr>
        <w:numPr>
          <w:ilvl w:val="0"/>
          <w:numId w:val="2"/>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Rembourser vos dettes (afin de garder son logement si en cours de paiement, solder les crédits à la consommation) ;</w:t>
      </w:r>
    </w:p>
    <w:p w14:paraId="043F5276" w14:textId="77777777" w:rsidR="00304475" w:rsidRPr="00304475" w:rsidRDefault="00304475" w:rsidP="00304475">
      <w:pPr>
        <w:numPr>
          <w:ilvl w:val="0"/>
          <w:numId w:val="2"/>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Garder deux à trois mois de cash afin de faire face à une interruption de fonctionnement des banques.</w:t>
      </w:r>
    </w:p>
    <w:p w14:paraId="0C4B369D"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b/>
          <w:bCs/>
          <w:color w:val="000000"/>
          <w:sz w:val="21"/>
          <w:szCs w:val="21"/>
          <w:lang w:eastAsia="fr-FR"/>
        </w:rPr>
        <w:t>Situation de moyenne épargne :</w:t>
      </w:r>
    </w:p>
    <w:p w14:paraId="3C7ACBEC" w14:textId="77777777" w:rsidR="00304475" w:rsidRPr="00304475" w:rsidRDefault="00304475" w:rsidP="00304475">
      <w:pPr>
        <w:numPr>
          <w:ilvl w:val="0"/>
          <w:numId w:val="3"/>
        </w:numPr>
        <w:spacing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Mêmes actions que précédemment plus :</w:t>
      </w:r>
    </w:p>
    <w:p w14:paraId="4DEE00FD" w14:textId="77777777" w:rsidR="00304475" w:rsidRPr="00304475" w:rsidRDefault="00304475" w:rsidP="00304475">
      <w:pPr>
        <w:numPr>
          <w:ilvl w:val="0"/>
          <w:numId w:val="3"/>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Liquider les assurances vie pour achat du bien immobilier principal ou rembourser les dettes ;</w:t>
      </w:r>
    </w:p>
    <w:p w14:paraId="3EA8C519" w14:textId="77777777" w:rsidR="00304475" w:rsidRPr="00304475" w:rsidRDefault="00304475" w:rsidP="00304475">
      <w:pPr>
        <w:numPr>
          <w:ilvl w:val="0"/>
          <w:numId w:val="3"/>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Acheter des biens « plaisirs » &amp; durables : vins, équipements dont la durée de vie &gt; 5 ans ;</w:t>
      </w:r>
    </w:p>
    <w:p w14:paraId="6B9E2C17" w14:textId="77777777" w:rsidR="00304475" w:rsidRPr="00304475" w:rsidRDefault="00304475" w:rsidP="00304475">
      <w:pPr>
        <w:numPr>
          <w:ilvl w:val="0"/>
          <w:numId w:val="3"/>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Acheter des devises étrangères (Francs suisse, Dollars, Livre Sterling) ;</w:t>
      </w:r>
    </w:p>
    <w:p w14:paraId="2E0E70A8" w14:textId="77777777" w:rsidR="00304475" w:rsidRPr="00304475" w:rsidRDefault="00304475" w:rsidP="00304475">
      <w:pPr>
        <w:numPr>
          <w:ilvl w:val="0"/>
          <w:numId w:val="3"/>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Investir dans des PME.PMI locales (LITA.co) ;</w:t>
      </w:r>
    </w:p>
    <w:p w14:paraId="7B04B212" w14:textId="77777777" w:rsidR="00304475" w:rsidRPr="00304475" w:rsidRDefault="00304475" w:rsidP="00304475">
      <w:pPr>
        <w:numPr>
          <w:ilvl w:val="0"/>
          <w:numId w:val="3"/>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 xml:space="preserve">Acheter des biens à valeur sûre (Dixit O. </w:t>
      </w:r>
      <w:proofErr w:type="spellStart"/>
      <w:r w:rsidRPr="00304475">
        <w:rPr>
          <w:rFonts w:ascii="Arial" w:eastAsia="Times New Roman" w:hAnsi="Arial" w:cs="Arial"/>
          <w:color w:val="000000"/>
          <w:sz w:val="21"/>
          <w:szCs w:val="21"/>
          <w:lang w:eastAsia="fr-FR"/>
        </w:rPr>
        <w:t>Delamarche</w:t>
      </w:r>
      <w:proofErr w:type="spellEnd"/>
      <w:r w:rsidRPr="00304475">
        <w:rPr>
          <w:rFonts w:ascii="Arial" w:eastAsia="Times New Roman" w:hAnsi="Arial" w:cs="Arial"/>
          <w:color w:val="000000"/>
          <w:sz w:val="21"/>
          <w:szCs w:val="21"/>
          <w:lang w:eastAsia="fr-FR"/>
        </w:rPr>
        <w:t xml:space="preserve"> : Or, Argent, Platine, pièces en coffre en Suisse (Emission RT France, Cash avec </w:t>
      </w:r>
      <w:hyperlink r:id="rId5" w:tgtFrame="_blank" w:history="1">
        <w:r w:rsidRPr="00304475">
          <w:rPr>
            <w:rFonts w:ascii="Arial" w:eastAsia="Times New Roman" w:hAnsi="Arial" w:cs="Arial"/>
            <w:color w:val="0000FF"/>
            <w:sz w:val="21"/>
            <w:szCs w:val="21"/>
            <w:u w:val="single"/>
            <w:lang w:eastAsia="fr-FR"/>
          </w:rPr>
          <w:t>aucoffre.com</w:t>
        </w:r>
      </w:hyperlink>
      <w:r w:rsidRPr="00304475">
        <w:rPr>
          <w:rFonts w:ascii="Arial" w:eastAsia="Times New Roman" w:hAnsi="Arial" w:cs="Arial"/>
          <w:color w:val="000000"/>
          <w:sz w:val="21"/>
          <w:szCs w:val="21"/>
          <w:lang w:eastAsia="fr-FR"/>
        </w:rPr>
        <w:t>)) ;</w:t>
      </w:r>
    </w:p>
    <w:p w14:paraId="7E3062F5"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b/>
          <w:bCs/>
          <w:color w:val="000000"/>
          <w:sz w:val="21"/>
          <w:szCs w:val="21"/>
          <w:lang w:eastAsia="fr-FR"/>
        </w:rPr>
        <w:t>Situation de forte épargne :</w:t>
      </w:r>
    </w:p>
    <w:p w14:paraId="21514C1D" w14:textId="77777777" w:rsidR="00304475" w:rsidRPr="00304475" w:rsidRDefault="00304475" w:rsidP="00304475">
      <w:pPr>
        <w:numPr>
          <w:ilvl w:val="0"/>
          <w:numId w:val="4"/>
        </w:numPr>
        <w:spacing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Mêmes actions que ci-dessus plus :</w:t>
      </w:r>
    </w:p>
    <w:p w14:paraId="46E1B8CB"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Prêter à la famille (Achat appartement enfant, financement études ou entreprise familiale) ;</w:t>
      </w:r>
    </w:p>
    <w:p w14:paraId="5C7B2FCB"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Ouvrir un compte d’investissement en Suisse (Swissquote.com ou banque commerciale suisse hors HSBC &amp; majors, niveau minimum demandé = 250K€), ou d’épargne en Suisse (PostFinance.ch, banque postale suisse) ;</w:t>
      </w:r>
    </w:p>
    <w:p w14:paraId="7CE555BC"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 xml:space="preserve">Ouvrir une carte </w:t>
      </w:r>
      <w:proofErr w:type="spellStart"/>
      <w:r w:rsidRPr="00304475">
        <w:rPr>
          <w:rFonts w:ascii="Arial" w:eastAsia="Times New Roman" w:hAnsi="Arial" w:cs="Arial"/>
          <w:color w:val="000000"/>
          <w:sz w:val="21"/>
          <w:szCs w:val="21"/>
          <w:lang w:eastAsia="fr-FR"/>
        </w:rPr>
        <w:t>Revolut</w:t>
      </w:r>
      <w:proofErr w:type="spellEnd"/>
      <w:r w:rsidRPr="00304475">
        <w:rPr>
          <w:rFonts w:ascii="Arial" w:eastAsia="Times New Roman" w:hAnsi="Arial" w:cs="Arial"/>
          <w:color w:val="000000"/>
          <w:sz w:val="21"/>
          <w:szCs w:val="21"/>
          <w:lang w:eastAsia="fr-FR"/>
        </w:rPr>
        <w:t xml:space="preserve"> (en cas de départ rapide) ;</w:t>
      </w:r>
    </w:p>
    <w:p w14:paraId="05170915"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Acheter un bien immobilier en pays d’Etat de Droit (Hors Europe occidentale, Canada, USA (Pays de l’OTAN)) ;</w:t>
      </w:r>
    </w:p>
    <w:p w14:paraId="5FC420CD"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Achat d’actions en minerais à fort potentiel (Uranium) ;</w:t>
      </w:r>
    </w:p>
    <w:p w14:paraId="022B3ED4" w14:textId="77777777" w:rsidR="00304475" w:rsidRPr="00304475" w:rsidRDefault="00304475" w:rsidP="00304475">
      <w:pPr>
        <w:numPr>
          <w:ilvl w:val="0"/>
          <w:numId w:val="4"/>
        </w:numPr>
        <w:spacing w:before="100" w:beforeAutospacing="1" w:after="100" w:afterAutospacing="1" w:line="223" w:lineRule="atLeast"/>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Achat de Bitcoins à hauteur maximum de 5% du patrimoine.</w:t>
      </w:r>
    </w:p>
    <w:p w14:paraId="50160323"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Liens associés :</w:t>
      </w:r>
    </w:p>
    <w:p w14:paraId="7783316D"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hyperlink r:id="rId6" w:tgtFrame="_blank" w:history="1">
        <w:r w:rsidRPr="00304475">
          <w:rPr>
            <w:rFonts w:ascii="Arial" w:eastAsia="Times New Roman" w:hAnsi="Arial" w:cs="Arial"/>
            <w:color w:val="0000FF"/>
            <w:sz w:val="21"/>
            <w:szCs w:val="21"/>
            <w:u w:val="single"/>
            <w:lang w:eastAsia="fr-FR"/>
          </w:rPr>
          <w:t>https://insolentiae.com/category/or-argent/?doing_wp_cron=1656574312.9611060619354248046875</w:t>
        </w:r>
      </w:hyperlink>
    </w:p>
    <w:p w14:paraId="7F0C2006" w14:textId="77777777" w:rsidR="00304475" w:rsidRPr="00304475" w:rsidRDefault="00304475" w:rsidP="00304475">
      <w:pPr>
        <w:numPr>
          <w:ilvl w:val="0"/>
          <w:numId w:val="5"/>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S’adapter aux nouvelles monnaies locales (June, sel…) dans un monde où le chacun pour soi sera exacerbé. La sécession financière se fera donc en deux temps (sortir du système bancaire puis utiliser une autre monnaie.</w:t>
      </w:r>
    </w:p>
    <w:p w14:paraId="0F358915"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b/>
          <w:bCs/>
          <w:color w:val="000000"/>
          <w:sz w:val="21"/>
          <w:szCs w:val="21"/>
          <w:lang w:eastAsia="fr-FR"/>
        </w:rPr>
        <w:t>Les points communs abordés</w:t>
      </w:r>
    </w:p>
    <w:p w14:paraId="13D8AAB2" w14:textId="77777777" w:rsidR="00304475" w:rsidRPr="00304475" w:rsidRDefault="00304475" w:rsidP="00304475">
      <w:pPr>
        <w:numPr>
          <w:ilvl w:val="0"/>
          <w:numId w:val="6"/>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Savoir qu’il n’y aura jamais de retour vers le monde « d’avant » ;</w:t>
      </w:r>
    </w:p>
    <w:p w14:paraId="7A192DC0" w14:textId="77777777" w:rsidR="00304475" w:rsidRPr="00304475" w:rsidRDefault="00304475" w:rsidP="00304475">
      <w:pPr>
        <w:numPr>
          <w:ilvl w:val="0"/>
          <w:numId w:val="6"/>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Créer du lien, via un réseau concret et des solutions pratiques comme Solaris ;</w:t>
      </w:r>
    </w:p>
    <w:p w14:paraId="32FD1CB5" w14:textId="77777777" w:rsidR="00304475" w:rsidRPr="00304475" w:rsidRDefault="00304475" w:rsidP="00304475">
      <w:pPr>
        <w:numPr>
          <w:ilvl w:val="0"/>
          <w:numId w:val="6"/>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Définir où vivre et acquérir de nouvelles compétences utiles (ou capacité d’échanger) ;</w:t>
      </w:r>
    </w:p>
    <w:p w14:paraId="33430C45" w14:textId="77777777" w:rsidR="00304475" w:rsidRPr="00304475" w:rsidRDefault="00304475" w:rsidP="00304475">
      <w:pPr>
        <w:numPr>
          <w:ilvl w:val="0"/>
          <w:numId w:val="6"/>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 xml:space="preserve">Ne pas dépenser (trop) d’énergie sur la communication étant donné les traumatismes de la population (Ne pas perdre du temps sur </w:t>
      </w:r>
      <w:proofErr w:type="spellStart"/>
      <w:r w:rsidRPr="00304475">
        <w:rPr>
          <w:rFonts w:ascii="Arial" w:eastAsia="Times New Roman" w:hAnsi="Arial" w:cs="Arial"/>
          <w:color w:val="000000"/>
          <w:sz w:val="21"/>
          <w:szCs w:val="21"/>
          <w:lang w:eastAsia="fr-FR"/>
        </w:rPr>
        <w:t>TikTok</w:t>
      </w:r>
      <w:proofErr w:type="spellEnd"/>
      <w:r w:rsidRPr="00304475">
        <w:rPr>
          <w:rFonts w:ascii="Arial" w:eastAsia="Times New Roman" w:hAnsi="Arial" w:cs="Arial"/>
          <w:color w:val="000000"/>
          <w:sz w:val="21"/>
          <w:szCs w:val="21"/>
          <w:lang w:eastAsia="fr-FR"/>
        </w:rPr>
        <w:t xml:space="preserve"> pour convaincre des convaincus) ;</w:t>
      </w:r>
    </w:p>
    <w:p w14:paraId="2E3A759B" w14:textId="77777777" w:rsidR="00304475" w:rsidRPr="00304475" w:rsidRDefault="00304475" w:rsidP="00304475">
      <w:pPr>
        <w:numPr>
          <w:ilvl w:val="0"/>
          <w:numId w:val="6"/>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Cultiver l’effet d’exemple pour créer des liens sociaux et un monde parallèle ;</w:t>
      </w:r>
    </w:p>
    <w:p w14:paraId="13BE7A2D"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b/>
          <w:bCs/>
          <w:color w:val="000000"/>
          <w:sz w:val="21"/>
          <w:szCs w:val="21"/>
          <w:lang w:eastAsia="fr-FR"/>
        </w:rPr>
        <w:t>ODJ de la prochaine réunion : Trouver des sujets communs pratiques afin de faciliter la transition</w:t>
      </w:r>
    </w:p>
    <w:p w14:paraId="0D61D30A" w14:textId="77777777" w:rsidR="00304475" w:rsidRPr="00304475" w:rsidRDefault="00304475" w:rsidP="00304475">
      <w:pPr>
        <w:numPr>
          <w:ilvl w:val="0"/>
          <w:numId w:val="7"/>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Scolarité des enfants : sujet récurrent afin de faire face à des actions de vaccination obligatoire (Créer un mode d’emploi et préparer le terrain dès maintenant)</w:t>
      </w:r>
    </w:p>
    <w:p w14:paraId="7CE9CD11" w14:textId="77777777" w:rsidR="00304475" w:rsidRPr="00304475" w:rsidRDefault="00304475" w:rsidP="00304475">
      <w:pPr>
        <w:numPr>
          <w:ilvl w:val="0"/>
          <w:numId w:val="7"/>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 xml:space="preserve">Accueil des professionnels itinérants </w:t>
      </w:r>
      <w:proofErr w:type="gramStart"/>
      <w:r w:rsidRPr="00304475">
        <w:rPr>
          <w:rFonts w:ascii="Arial" w:eastAsia="Times New Roman" w:hAnsi="Arial" w:cs="Arial"/>
          <w:color w:val="000000"/>
          <w:sz w:val="21"/>
          <w:szCs w:val="21"/>
          <w:lang w:eastAsia="fr-FR"/>
        </w:rPr>
        <w:t>hors</w:t>
      </w:r>
      <w:proofErr w:type="gramEnd"/>
      <w:r w:rsidRPr="00304475">
        <w:rPr>
          <w:rFonts w:ascii="Arial" w:eastAsia="Times New Roman" w:hAnsi="Arial" w:cs="Arial"/>
          <w:color w:val="000000"/>
          <w:sz w:val="21"/>
          <w:szCs w:val="21"/>
          <w:lang w:eastAsia="fr-FR"/>
        </w:rPr>
        <w:t xml:space="preserve"> hôtels/Restaurants : créer une liste des possibilités d’hébergement via RL &amp; d’autres associations</w:t>
      </w:r>
    </w:p>
    <w:p w14:paraId="306D0C59" w14:textId="77777777" w:rsidR="00304475" w:rsidRPr="00304475" w:rsidRDefault="00304475" w:rsidP="00304475">
      <w:pPr>
        <w:numPr>
          <w:ilvl w:val="0"/>
          <w:numId w:val="7"/>
        </w:numPr>
        <w:spacing w:before="100" w:beforeAutospacing="1" w:after="100" w:afterAutospacing="1"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Structurer un business : créer un mode d’emploi afin de créer un business local résistant.</w:t>
      </w:r>
    </w:p>
    <w:p w14:paraId="627F7FE2"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Bonne journée,</w:t>
      </w:r>
    </w:p>
    <w:p w14:paraId="5059DADD" w14:textId="77777777" w:rsidR="00304475" w:rsidRPr="00304475" w:rsidRDefault="00304475" w:rsidP="00304475">
      <w:pPr>
        <w:spacing w:before="240" w:after="240" w:line="240" w:lineRule="auto"/>
        <w:rPr>
          <w:rFonts w:ascii="Arial" w:eastAsia="Times New Roman" w:hAnsi="Arial" w:cs="Arial"/>
          <w:color w:val="000000"/>
          <w:sz w:val="21"/>
          <w:szCs w:val="21"/>
          <w:lang w:eastAsia="fr-FR"/>
        </w:rPr>
      </w:pPr>
      <w:r w:rsidRPr="00304475">
        <w:rPr>
          <w:rFonts w:ascii="Arial" w:eastAsia="Times New Roman" w:hAnsi="Arial" w:cs="Arial"/>
          <w:color w:val="000000"/>
          <w:sz w:val="21"/>
          <w:szCs w:val="21"/>
          <w:lang w:eastAsia="fr-FR"/>
        </w:rPr>
        <w:t>Tanguy</w:t>
      </w:r>
    </w:p>
    <w:p w14:paraId="16CE4481" w14:textId="77777777" w:rsidR="00EE4B23" w:rsidRDefault="00EE4B23"/>
    <w:sectPr w:rsidR="00EE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407C"/>
    <w:multiLevelType w:val="multilevel"/>
    <w:tmpl w:val="478A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55D42"/>
    <w:multiLevelType w:val="multilevel"/>
    <w:tmpl w:val="D0F6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F139D"/>
    <w:multiLevelType w:val="multilevel"/>
    <w:tmpl w:val="4C2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E3DB4"/>
    <w:multiLevelType w:val="multilevel"/>
    <w:tmpl w:val="D21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804CEE"/>
    <w:multiLevelType w:val="multilevel"/>
    <w:tmpl w:val="F3F0E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1A0620"/>
    <w:multiLevelType w:val="multilevel"/>
    <w:tmpl w:val="632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B2492"/>
    <w:multiLevelType w:val="multilevel"/>
    <w:tmpl w:val="4A68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3399949">
    <w:abstractNumId w:val="0"/>
  </w:num>
  <w:num w:numId="2" w16cid:durableId="1481656517">
    <w:abstractNumId w:val="3"/>
  </w:num>
  <w:num w:numId="3" w16cid:durableId="1975211676">
    <w:abstractNumId w:val="5"/>
  </w:num>
  <w:num w:numId="4" w16cid:durableId="1917746099">
    <w:abstractNumId w:val="2"/>
  </w:num>
  <w:num w:numId="5" w16cid:durableId="1715157818">
    <w:abstractNumId w:val="4"/>
  </w:num>
  <w:num w:numId="6" w16cid:durableId="1800105489">
    <w:abstractNumId w:val="6"/>
  </w:num>
  <w:num w:numId="7" w16cid:durableId="132651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5"/>
    <w:rsid w:val="00304475"/>
    <w:rsid w:val="00EE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6366"/>
  <w15:chartTrackingRefBased/>
  <w15:docId w15:val="{B718E5F4-BF8C-41E1-B3F7-CF25978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6023">
      <w:bodyDiv w:val="1"/>
      <w:marLeft w:val="0"/>
      <w:marRight w:val="0"/>
      <w:marTop w:val="0"/>
      <w:marBottom w:val="0"/>
      <w:divBdr>
        <w:top w:val="none" w:sz="0" w:space="0" w:color="auto"/>
        <w:left w:val="none" w:sz="0" w:space="0" w:color="auto"/>
        <w:bottom w:val="none" w:sz="0" w:space="0" w:color="auto"/>
        <w:right w:val="none" w:sz="0" w:space="0" w:color="auto"/>
      </w:divBdr>
      <w:divsChild>
        <w:div w:id="1757828213">
          <w:marLeft w:val="0"/>
          <w:marRight w:val="0"/>
          <w:marTop w:val="0"/>
          <w:marBottom w:val="0"/>
          <w:divBdr>
            <w:top w:val="none" w:sz="0" w:space="0" w:color="auto"/>
            <w:left w:val="none" w:sz="0" w:space="0" w:color="auto"/>
            <w:bottom w:val="none" w:sz="0" w:space="0" w:color="auto"/>
            <w:right w:val="none" w:sz="0" w:space="0" w:color="auto"/>
          </w:divBdr>
        </w:div>
        <w:div w:id="166678254">
          <w:marLeft w:val="0"/>
          <w:marRight w:val="0"/>
          <w:marTop w:val="0"/>
          <w:marBottom w:val="0"/>
          <w:divBdr>
            <w:top w:val="none" w:sz="0" w:space="0" w:color="auto"/>
            <w:left w:val="none" w:sz="0" w:space="0" w:color="auto"/>
            <w:bottom w:val="none" w:sz="0" w:space="0" w:color="auto"/>
            <w:right w:val="none" w:sz="0" w:space="0" w:color="auto"/>
          </w:divBdr>
          <w:divsChild>
            <w:div w:id="1664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olentiae.com/category/or-argent/?doing_wp_cron=1656574312.9611060619354248046875" TargetMode="External"/><Relationship Id="rId5" Type="http://schemas.openxmlformats.org/officeDocument/2006/relationships/hyperlink" Target="http://aucoffr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3227</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wertheimer</dc:creator>
  <cp:keywords/>
  <dc:description/>
  <cp:lastModifiedBy>ines wertheimer</cp:lastModifiedBy>
  <cp:revision>1</cp:revision>
  <dcterms:created xsi:type="dcterms:W3CDTF">2022-07-07T17:54:00Z</dcterms:created>
  <dcterms:modified xsi:type="dcterms:W3CDTF">2022-07-07T17:55:00Z</dcterms:modified>
</cp:coreProperties>
</file>